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2号配电室电气设备绝缘用具耐压试验项目参数</w:t>
      </w:r>
    </w:p>
    <w:p>
      <w:p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依据《中华人民共和国电力法》及《医院电力系统运行管理》规定，电力管理部门每2年要对医院电力系统设施设备进行强制性耐压试验并出具试验报告。我院2号配电室2020年10月进行了耐压试验，本试验期是2022年10月。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2号配电室10KV电气设备试验清单</w:t>
      </w:r>
    </w:p>
    <w:p>
      <w:pPr>
        <w:tabs>
          <w:tab w:val="left" w:pos="2551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page" w:tblpX="1634" w:tblpY="3645"/>
        <w:tblOverlap w:val="never"/>
        <w:tblW w:w="85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805"/>
        <w:gridCol w:w="1248"/>
        <w:gridCol w:w="1164"/>
        <w:gridCol w:w="34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试验周期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具有输变电压专业承包叁级，承装（修、试）电力设施叁级。发电机、送电线路、变电线路运行维护资质。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严格按照行业标准进行项目服务。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工作期间，做好防护措施，因操作不当、防护不到位给甲乙双方造成的人身损害或财产损失由乙方负责。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试验结束后，十个工作日出具试验报告。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乙方需向甲方提供全额增值税普通发票。甲方在15个工作日预付总费用的50%，试验结束10个工作日内乙方向甲方出具试验报告后付全额款的20%，余30%待绝缘用具耐压试验周期完成结报告后支付。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户内真空断路器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氧化锌避雷器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微机保护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电流互感器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传感支瓷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保护装置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两年</w:t>
            </w:r>
          </w:p>
        </w:tc>
        <w:tc>
          <w:tcPr>
            <w:tcW w:w="3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ind w:firstLine="2249" w:firstLineChars="8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配电室绝缘用具耐压试验（参数）</w:t>
      </w:r>
    </w:p>
    <w:tbl>
      <w:tblPr>
        <w:tblStyle w:val="3"/>
        <w:tblpPr w:leftFromText="180" w:rightFromText="180" w:vertAnchor="text" w:horzAnchor="page" w:tblpX="1717" w:tblpY="203"/>
        <w:tblOverlap w:val="never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047"/>
        <w:gridCol w:w="1620"/>
        <w:gridCol w:w="1104"/>
        <w:gridCol w:w="114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32" w:type="dxa"/>
            <w:vMerge w:val="restart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1047" w:type="dxa"/>
            <w:vMerge w:val="restart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62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绝缘电阻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MΩ</w:t>
            </w:r>
          </w:p>
        </w:tc>
        <w:tc>
          <w:tcPr>
            <w:tcW w:w="224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交流耐压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试验周期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32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电压（KV）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时间（min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10KV 高压绝缘手套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双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1OKV高压绝缘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靴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5双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10KV验电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器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2只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10KV接地线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1OKV低压绝缘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鞋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10双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一年</w:t>
            </w:r>
          </w:p>
        </w:tc>
      </w:tr>
    </w:tbl>
    <w:p>
      <w:pPr>
        <w:tabs>
          <w:tab w:val="left" w:pos="255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551"/>
        </w:tabs>
        <w:bidi w:val="0"/>
        <w:jc w:val="left"/>
        <w:rPr>
          <w:rFonts w:hint="eastAsia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8F07F"/>
    <w:multiLevelType w:val="singleLevel"/>
    <w:tmpl w:val="5538F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WU0YWM3ZTE0MTQxYzAwMWQ0OTE3ZmQyOTVhNmQifQ=="/>
  </w:docVars>
  <w:rsids>
    <w:rsidRoot w:val="350F7FC0"/>
    <w:rsid w:val="0D311AF2"/>
    <w:rsid w:val="147E35CF"/>
    <w:rsid w:val="240B381A"/>
    <w:rsid w:val="29454D36"/>
    <w:rsid w:val="2A752293"/>
    <w:rsid w:val="2C145E78"/>
    <w:rsid w:val="2D0E132E"/>
    <w:rsid w:val="2EB119E1"/>
    <w:rsid w:val="2F570447"/>
    <w:rsid w:val="304C39FE"/>
    <w:rsid w:val="350F7FC0"/>
    <w:rsid w:val="3AEF51A6"/>
    <w:rsid w:val="424A235E"/>
    <w:rsid w:val="42C25BEB"/>
    <w:rsid w:val="444D7F7C"/>
    <w:rsid w:val="4648199B"/>
    <w:rsid w:val="4E796887"/>
    <w:rsid w:val="52CA2566"/>
    <w:rsid w:val="5C044FC4"/>
    <w:rsid w:val="6E825A57"/>
    <w:rsid w:val="754C7573"/>
    <w:rsid w:val="78E900D3"/>
    <w:rsid w:val="7A3E79EF"/>
    <w:rsid w:val="7ED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650</Characters>
  <Lines>0</Lines>
  <Paragraphs>0</Paragraphs>
  <TotalTime>23</TotalTime>
  <ScaleCrop>false</ScaleCrop>
  <LinksUpToDate>false</LinksUpToDate>
  <CharactersWithSpaces>651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2020-06-09T00:38:00Z</dcterms:created>
  <dc:creator>红十字</dc:creator>
  <cp:lastModifiedBy>此号停用！永远</cp:lastModifiedBy>
  <cp:lastPrinted>2022-06-01T08:24:44Z</cp:lastPrinted>
  <dcterms:modified xsi:type="dcterms:W3CDTF">2022-06-01T08:25:17Z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F18BD3160204499981D6156711A9FC66</vt:lpwstr>
  </property>
</Properties>
</file>