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1753"/>
        <w:gridCol w:w="2794"/>
        <w:gridCol w:w="2065"/>
        <w:gridCol w:w="104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noWrap w:val="0"/>
            <w:vAlign w:val="top"/>
          </w:tcPr>
          <w:p>
            <w:pPr>
              <w:rPr>
                <w:rFonts w:hint="eastAsia" w:ascii="宋体" w:hAnsi="宋体" w:eastAsia="宋体" w:cs="宋体"/>
                <w:sz w:val="21"/>
                <w:szCs w:val="21"/>
                <w:lang w:val="en-US" w:eastAsia="zh-CN"/>
              </w:rPr>
            </w:pPr>
            <w:bookmarkStart w:id="0" w:name="_GoBack"/>
            <w:bookmarkEnd w:id="0"/>
            <w:r>
              <w:rPr>
                <w:rFonts w:hint="eastAsia" w:ascii="宋体" w:hAnsi="宋体"/>
                <w:b/>
                <w:szCs w:val="21"/>
              </w:rPr>
              <w:t>序号</w:t>
            </w:r>
          </w:p>
        </w:tc>
        <w:tc>
          <w:tcPr>
            <w:tcW w:w="1753" w:type="dxa"/>
            <w:noWrap w:val="0"/>
            <w:vAlign w:val="top"/>
          </w:tcPr>
          <w:p>
            <w:pPr>
              <w:ind w:firstLine="527" w:firstLineChars="250"/>
              <w:rPr>
                <w:rFonts w:hint="eastAsia" w:ascii="宋体" w:hAnsi="宋体" w:eastAsia="宋体" w:cs="宋体"/>
                <w:sz w:val="21"/>
                <w:szCs w:val="21"/>
              </w:rPr>
            </w:pPr>
            <w:r>
              <w:rPr>
                <w:rFonts w:hint="eastAsia" w:ascii="宋体" w:hAnsi="宋体"/>
                <w:b/>
                <w:szCs w:val="21"/>
              </w:rPr>
              <w:t>项目编号</w:t>
            </w:r>
          </w:p>
        </w:tc>
        <w:tc>
          <w:tcPr>
            <w:tcW w:w="2794" w:type="dxa"/>
            <w:noWrap w:val="0"/>
            <w:vAlign w:val="top"/>
          </w:tcPr>
          <w:p>
            <w:pPr>
              <w:rPr>
                <w:rFonts w:hint="eastAsia" w:ascii="宋体" w:hAnsi="宋体" w:eastAsia="宋体" w:cs="宋体"/>
                <w:sz w:val="21"/>
                <w:szCs w:val="21"/>
              </w:rPr>
            </w:pPr>
            <w:r>
              <w:rPr>
                <w:rFonts w:hint="eastAsia" w:ascii="宋体" w:hAnsi="宋体"/>
                <w:b/>
                <w:szCs w:val="21"/>
              </w:rPr>
              <w:t xml:space="preserve">     项目名称</w:t>
            </w:r>
          </w:p>
        </w:tc>
        <w:tc>
          <w:tcPr>
            <w:tcW w:w="4938" w:type="dxa"/>
            <w:gridSpan w:val="3"/>
            <w:noWrap w:val="0"/>
            <w:vAlign w:val="top"/>
          </w:tcPr>
          <w:p>
            <w:pPr>
              <w:rPr>
                <w:rFonts w:hint="eastAsia" w:ascii="宋体" w:hAnsi="宋体"/>
                <w:b/>
                <w:szCs w:val="21"/>
              </w:rPr>
            </w:pPr>
            <w:r>
              <w:rPr>
                <w:rFonts w:hint="eastAsia" w:ascii="宋体" w:hAnsi="宋体"/>
                <w:b/>
                <w:szCs w:val="21"/>
              </w:rPr>
              <w:t xml:space="preserve">         项目参数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3022004</w:t>
            </w:r>
          </w:p>
        </w:tc>
        <w:tc>
          <w:tcPr>
            <w:tcW w:w="2794"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纯水机辅助材料(国产)</w:t>
            </w: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规格型号</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w:t>
            </w:r>
          </w:p>
        </w:tc>
        <w:tc>
          <w:tcPr>
            <w:tcW w:w="1829"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石英砂:6-8mm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restar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用途：用于检验科水机水质超标，作为耗材更换。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sz w:val="18"/>
                <w:szCs w:val="18"/>
              </w:rPr>
            </w:pPr>
          </w:p>
        </w:tc>
        <w:tc>
          <w:tcPr>
            <w:tcW w:w="1753" w:type="dxa"/>
            <w:vMerge w:val="continue"/>
            <w:noWrap w:val="0"/>
            <w:vAlign w:val="center"/>
          </w:tcPr>
          <w:p>
            <w:pPr>
              <w:keepNext w:val="0"/>
              <w:keepLines w:val="0"/>
              <w:widowControl/>
              <w:suppressLineNumbers w:val="0"/>
              <w:jc w:val="both"/>
              <w:textAlignment w:val="center"/>
              <w:rPr>
                <w:sz w:val="18"/>
                <w:szCs w:val="18"/>
              </w:rPr>
            </w:pPr>
          </w:p>
        </w:tc>
        <w:tc>
          <w:tcPr>
            <w:tcW w:w="2794" w:type="dxa"/>
            <w:vMerge w:val="continue"/>
            <w:noWrap w:val="0"/>
            <w:vAlign w:val="center"/>
          </w:tcPr>
          <w:p>
            <w:pPr>
              <w:keepNext w:val="0"/>
              <w:keepLines w:val="0"/>
              <w:widowControl/>
              <w:suppressLineNumbers w:val="0"/>
              <w:jc w:val="both"/>
              <w:textAlignment w:val="center"/>
              <w:rPr>
                <w:sz w:val="18"/>
                <w:szCs w:val="18"/>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椰壳活性炭:6-12mm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软化树脂:001*7</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升</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PP滤芯:20寸5μm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RO反渗透膜: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YQS-4040</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核级精混树脂:摩速</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升</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离子交换树脂再生剂</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PP滤芯:10寸5μm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2</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3022005</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sprinterXL间接荧光免疫分析仪系统清洗液(100ml)(国产)</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 100ml/瓶</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用途：用于仪器清洗，维护保养。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sprinterXL间接荧光免疫分析仪初始稀释管(国产)</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 120x8个/包</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用途：用于样本的稀释。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1753" w:type="dxa"/>
            <w:noWrap w:val="0"/>
            <w:vAlign w:val="center"/>
          </w:tcPr>
          <w:p>
            <w:pPr>
              <w:jc w:val="both"/>
              <w:rPr>
                <w:rFonts w:hint="default" w:ascii="宋体" w:hAnsi="宋体" w:eastAsia="宋体" w:cs="宋体"/>
                <w:sz w:val="18"/>
                <w:szCs w:val="18"/>
                <w:lang w:val="en-US" w:eastAsia="zh-CN"/>
              </w:rPr>
            </w:pPr>
            <w:r>
              <w:rPr>
                <w:rFonts w:hint="eastAsia" w:ascii="宋体" w:hAnsi="宋体" w:eastAsia="宋体" w:cs="宋体"/>
                <w:sz w:val="18"/>
                <w:szCs w:val="18"/>
              </w:rPr>
              <w:t>QHYZYB-20</w:t>
            </w:r>
            <w:r>
              <w:rPr>
                <w:rFonts w:hint="eastAsia" w:ascii="宋体" w:hAnsi="宋体" w:cs="宋体"/>
                <w:sz w:val="18"/>
                <w:szCs w:val="18"/>
                <w:lang w:val="en-US" w:eastAsia="zh-CN"/>
              </w:rPr>
              <w:t>23022006</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结核分枝杆菌特异性细胞</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免疫反应检测试剂盒(磁微</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粒化学发光法)</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:28人份</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用途：本产品用于定性检测人新鲜外周静脉抗凝血中结核分枝杆菌特异性的T细胞免疫反应。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eastAsia" w:ascii="宋体" w:hAnsi="宋体" w:cs="宋体"/>
                <w:sz w:val="18"/>
                <w:szCs w:val="18"/>
                <w:lang w:val="en-US" w:eastAsia="zh-CN"/>
              </w:rPr>
            </w:pPr>
            <w:r>
              <w:rPr>
                <w:rFonts w:hint="eastAsia" w:ascii="宋体" w:hAnsi="宋体" w:cs="宋体"/>
                <w:sz w:val="18"/>
                <w:szCs w:val="18"/>
                <w:lang w:val="en-US" w:eastAsia="zh-CN"/>
              </w:rPr>
              <w:t>4</w:t>
            </w:r>
          </w:p>
          <w:p>
            <w:pPr>
              <w:jc w:val="both"/>
              <w:rPr>
                <w:rFonts w:hint="default" w:ascii="宋体" w:hAnsi="宋体" w:eastAsia="宋体" w:cs="宋体"/>
                <w:sz w:val="18"/>
                <w:szCs w:val="18"/>
                <w:lang w:val="en-US" w:eastAsia="zh-CN"/>
              </w:rPr>
            </w:pPr>
          </w:p>
        </w:tc>
        <w:tc>
          <w:tcPr>
            <w:tcW w:w="1753" w:type="dxa"/>
            <w:vMerge w:val="restart"/>
            <w:noWrap w:val="0"/>
            <w:vAlign w:val="center"/>
          </w:tcPr>
          <w:p>
            <w:pPr>
              <w:jc w:val="both"/>
              <w:rPr>
                <w:rFonts w:hint="eastAsia" w:ascii="宋体" w:hAnsi="宋体" w:eastAsia="宋体" w:cs="宋体"/>
                <w:sz w:val="18"/>
                <w:szCs w:val="18"/>
              </w:rPr>
            </w:pPr>
            <w:r>
              <w:rPr>
                <w:rFonts w:hint="eastAsia" w:ascii="宋体" w:hAnsi="宋体" w:eastAsia="宋体" w:cs="宋体"/>
                <w:sz w:val="18"/>
                <w:szCs w:val="18"/>
              </w:rPr>
              <w:t>QHYZYB-202</w:t>
            </w:r>
            <w:r>
              <w:rPr>
                <w:rFonts w:hint="eastAsia" w:ascii="宋体" w:hAnsi="宋体" w:cs="宋体"/>
                <w:sz w:val="18"/>
                <w:szCs w:val="18"/>
                <w:lang w:val="en-US" w:eastAsia="zh-CN"/>
              </w:rPr>
              <w:t>3022007</w:t>
            </w:r>
          </w:p>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样本释放剂T3/T4/VB12 Ancillary Reagent（进口）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2x23.6ml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主要组成成分：氢氧化钠0.4N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样本释放剂T3/T4/VB12 Ancillary Reagent（进口）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6x23.6ml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主要组成成分：氢氧化钠0.4N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样本释放剂FOL DTT/Releasing Agent（进口）</w:t>
            </w:r>
          </w:p>
        </w:tc>
        <w:tc>
          <w:tcPr>
            <w:tcW w:w="206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二硫苏糖醇（DTT）:3x8ml/瓶</w:t>
            </w:r>
            <w:r>
              <w:rPr>
                <w:rFonts w:hint="eastAsia" w:ascii="宋体" w:hAnsi="宋体" w:cs="宋体"/>
                <w:i w:val="0"/>
                <w:iCs w:val="0"/>
                <w:color w:val="000000"/>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释放剂</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3x4ml/瓶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主要组成成分：DTT（二硫苏糖醇~95mg/ml）,释放剂（氢氧化钠~1.1N）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样本释放剂VB12 DTT/Releasing 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二硫苏糖醇（DTT）:1x2ml/瓶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释放剂：2x25ml/瓶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主要组成成分：DTT（二硫苏糖醇210mg/瓶）；释放剂（氢氧化钠0.3N，氰化钾1.25mg/瓶）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铁蛋白测定试剂盒（直接化学发光法）Ferritin（FER）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主要组成成分：本产品由标记试剂、固相试剂和标准曲线卡组成。                                            用途：用于体外定量检测人血清中的铁蛋白。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叶酸测定试剂盒（直接化学发光法）Folate（FOL）（进口）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140测试/盒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主要组成成分：本产品由标记试剂、固相试剂、叶酸结合蛋白、标准曲线卡、低值校准品、高值校准品、校准品条形码标签、校准品定值卡组成。                                            用途：用于体外定量测定血清或红细胞中的叶酸。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维生素B12测定试剂盒（直接化学发光法）VB12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主要组成成分：由标记试剂和固相试剂、维生素B12标准曲线卡组成。                                            用途：用于体外定量测定人血清或血浆中维生素B12的浓度。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雌二醇测定试剂盒（直接化学发光法）Enhanced Estradiol（eE2）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主要组成成分：由含雌二醇标记试剂、固相试剂和辅助孔试剂的主试剂包，含雌二醇辅助试剂的辅助包，以及雌二醇主曲线卡组成。                                            用途：用于体外定量测定人血清和血浆（肝素和乙二胺四乙酸抗凝）中的雌二醇。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总人绒毛膜促性腺激素测定试剂盒（直接化学发光法）Total hCG（ThCG）（进口）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主要组成成分：标记试剂、固相试剂和标准曲线卡。                                            用途：用于体外定量测定血清中人绒毛膜促性腺激素。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孕酮测定试剂盒（直接化学发光法）Progesterone（PRGE）（进口）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主要组成成分：由标记试剂、固相试剂、释放剂和标准曲线卡组成。                                               用途：用于体外定量测定人血清中孕酮（PRGE）的浓度。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黄体生成素测定试剂盒（直接化学发光法）LH （进口） </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用途：用于体外定量测定血清中的黄体生成素（LH）。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卵泡刺激素测定试剂盒（直接化学发光法）FSH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950测试/盒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用途：用于定量测定血清中卵泡刺激素（FSH）的浓度。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催乳素测定试剂盒（直接化学发光法）Prolactin（PRL）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用途：用于体外定量测定血清中的催乳素。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睾酮测定试剂盒（化学发光法）Testosterone II（TSTII）（进口）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方法学：化学发光法                                     主要组成成分：由主试剂包（内含标记试剂、固相试剂）、辅助试剂包（内含释放剂）、校准品和标准曲线卡组成。                                            用途：用于体外定量检测人血清和血浆中总睾酮（结合和未结合）的含量。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性激素结合球蛋白测定试剂盒（化学发光法）SHBG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方法学：化学发光法                                      主要组成成分：由标记试剂、固相试剂、辅助孔试剂和标准曲线卡组成。                                            用途：用于体外定量检测人血清和血浆中的性激素结合蛋白含量。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硫酸去氢表雄酮测定试剂盒（化学发光法）DHEA-S04（DHEAS）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方法学：化学发光法                                     主要组成成分：由标记试剂、固相试剂、辅助孔试剂、标准曲线卡、低值校准品、高值校准品、校准品赋值卡组成。                                            用途：用于体外定量检测人血清和血浆中的硫酸去氢表雄酮。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Ee2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2x5mL/盒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主要组成成分：含牛血清白蛋白和防腐剂的缓冲液。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ThCG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6x25mL/盒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主要组成成分：EDTA马血清、叠氮化钠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FOL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2x10mL/盒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主要组成成分：含叠氮化钠的人血浆和防腐剂。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VB12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2x4.8mL/盒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主要组成成分：HAS缓冲液、叠氮钠、防腐剂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雌二醇校准品Calibrator 30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试剂组成：试剂由低值校准品、高值校准品，校准品定值卡和条形码标签组成。组成试剂成分：为冻干状态。复溶后，低水平或高水平的符合美国药典标准的雌二醇、睾酮、皮质醇和孕酮置于含叠氮钠（0.1%）和防腐剂的碳吸附脱纤维人血浆中。                                            用途：用于雌二醇项目测试的校准。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多项校准品Calibrator B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低值校准品：2x5ml/瓶       高值校准品：2x5ml/瓶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主要组成成分：为冻干状态，主要成份为地高辛、卵泡刺激素、黄体生成素、催乳素、总绒毛膜促性腺激素、促甲状腺素、马血清、叠氮钠（＜0.1%）、防腐剂、蛋白稳定剂。                                            用途：用于地高辛、卵泡刺激素、黄体生成素、催乳素、总绒毛膜促性腺激素项目测试的校准。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多项校准品Calibrator E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主要组成成分：由低值校准品、高值校准品、校准品定值卡和条形码标签组成。                                            用途：用于皮质醇、孕酮、睾酮项目测试的校准。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性激素结合球蛋白校准品 SHBG Calibrator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主要组成成分：由低值校准品、高值校准品、校准品赋值卡、条形码标签组成。                                            用途：用于性激素结合球蛋白测试项目的校准。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 Calibrator C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低值校准品：2x5ml/瓶（复溶后）；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高值校准品：2x5ml/瓶（复溶后）。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主要组成成分：为冻干状态，主要成分为维生素B12、铁蛋白、人血清白蛋白（HSA）的缓冲液、叠氮钠（0.2%）、防腐剂、蛋白稳定剂。                                            用途：用于体外维生素B12、铁蛋白项目测试的校准。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系统确认包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辅助探针清洗液1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2x25 mL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全自动免疫检验系统用底物液 Atellica IM Acid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酸试剂：2x1.5L</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主要组成成分：过氧化氢（0.5%）；硝酸（0.1N）                                            用途：与其他多种试剂（如一抗、二抗、标准品、终止液等）配合使用，完成基于免疫原理的体外诊断检测，仅用于确定的检测系统。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碱试剂：2x1.5L</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主要组成成分：氢氧化钠（＜0.25N），表面活性剂。                                            用途：与其他多种试剂（如一抗、二抗、标准品、终止液等）配合使用，完成基于免疫原理的体外诊断检测，仅用于确定的检测系统。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反应杯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1x3000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一次性吸样管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1x</w:t>
            </w:r>
            <w:r>
              <w:rPr>
                <w:rFonts w:hint="eastAsia" w:ascii="宋体" w:hAnsi="宋体" w:cs="宋体"/>
                <w:i w:val="0"/>
                <w:iCs w:val="0"/>
                <w:color w:val="000000"/>
                <w:kern w:val="0"/>
                <w:sz w:val="18"/>
                <w:szCs w:val="18"/>
                <w:u w:val="none"/>
                <w:lang w:val="en-US" w:eastAsia="zh-CN" w:bidi="ar"/>
              </w:rPr>
              <w:t>6480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湿度包 （进口）</w:t>
            </w:r>
          </w:p>
        </w:tc>
        <w:tc>
          <w:tcPr>
            <w:tcW w:w="206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302208</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抗核抗体IgG 检测试剂盒(间接免疫荧光法)（国产）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1510-1010-1</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用于定性检测人血清或血浆中的抗核抗体，采用间接免疫荧光方法，搭配全自动间接免疫荧光操作/酶联免疫一体机Sprinter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抗双链DNA 抗体IgG 检测试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1572-1010</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用于定性检测人血清或血浆中的抗双链抗体，采用间接免疫荧光方法，搭配全自动间接免疫荧光操作/酶联免疫一体机Sprinter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抗线粒体抗体IgAGM 检测试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1620-1010-1 P</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用于定性检测人血清或血浆中的抗线粒体抗体，采用间接免疫荧光方法，搭配全自动间接免疫荧光操作/酶联免疫一体机Sprinter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抗角蛋白抗体检测试剂盒(间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1503-1010</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用于定性检测人血清或血浆中的抗角蛋白抗体，采用间接免疫荧光方法，搭配全自动间接免疫荧光操作/酶联免疫一体机Sprinter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抗中性粒细胞胞浆/抗肾小球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基底膜抗体IgG 检测试剂盒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1201-1010-13</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用于定性检测人血清或血浆中的抗中性粒细胞胞浆/抗肾小球基底膜抗体，采用间接免疫荧光方法，搭配全自动间接免疫荧光操作/酶联免疫一体机Sprinter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848" w:type="dxa"/>
            <w:gridSpan w:val="6"/>
            <w:noWrap w:val="0"/>
            <w:vAlign w:val="top"/>
          </w:tcPr>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备注说明：</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1、该项目为公开招标项目，凡是报名企业经销的产品使用范围、功能及规格与其一致，均可报名投标。</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2、报名企业如对项目名称或项目参数有疑问，请咨询物流中心，联系电话：0971-8277378。</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3、同一招议标编号为一个打包项目，同一招议标编号内产品不拆包。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YzIyNWU3ZTMwNTQxNmExNmU4OWQzZDZmMWEyNmEifQ=="/>
  </w:docVars>
  <w:rsids>
    <w:rsidRoot w:val="371B1524"/>
    <w:rsid w:val="147061F2"/>
    <w:rsid w:val="15CD5701"/>
    <w:rsid w:val="371B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4663</Words>
  <Characters>6049</Characters>
  <Lines>0</Lines>
  <Paragraphs>0</Paragraphs>
  <TotalTime>4</TotalTime>
  <ScaleCrop>false</ScaleCrop>
  <LinksUpToDate>false</LinksUpToDate>
  <CharactersWithSpaces>9044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2022-05-30T08:30:00Z</dcterms:created>
  <dc:creator>一眼之念〃</dc:creator>
  <cp:lastModifiedBy>《从来》</cp:lastModifiedBy>
  <cp:lastPrinted>2023-02-20T02:49:00Z</cp:lastPrinted>
  <dcterms:modified xsi:type="dcterms:W3CDTF">2023-02-20T07:29:04Z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4573B9725ED2492AAC07A95DB0FE6E88</vt:lpwstr>
  </property>
</Properties>
</file>